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6952C" w14:textId="5424D61D" w:rsidR="00D441C2" w:rsidRDefault="00036B26" w:rsidP="00265C55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 xml:space="preserve">In September 2019, the Crime and Corruption Commission </w:t>
      </w:r>
      <w:r w:rsidR="00387886">
        <w:t xml:space="preserve">(the CCC) </w:t>
      </w:r>
      <w:r>
        <w:t>made five recommendations involving areas for improvement to ensure conflicts of interest are declared and to reduce risks of corruption</w:t>
      </w:r>
      <w:r w:rsidR="006E00B1">
        <w:t>.</w:t>
      </w:r>
      <w:r w:rsidR="0040363D">
        <w:t xml:space="preserve"> The Queensland Government </w:t>
      </w:r>
      <w:r w:rsidR="00387886">
        <w:t xml:space="preserve">accepted </w:t>
      </w:r>
      <w:r w:rsidR="007D346E">
        <w:t>all</w:t>
      </w:r>
      <w:r w:rsidR="00387886">
        <w:t xml:space="preserve"> the recommendations put forward by the CCC.</w:t>
      </w:r>
    </w:p>
    <w:p w14:paraId="1D510FED" w14:textId="563586F3" w:rsidR="006E00B1" w:rsidRDefault="006E00B1" w:rsidP="00265C55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>Recommendations three and four</w:t>
      </w:r>
      <w:r w:rsidR="00D26F16">
        <w:t xml:space="preserve"> sought </w:t>
      </w:r>
      <w:r w:rsidR="002718F5">
        <w:t xml:space="preserve">the creation of new criminal offences </w:t>
      </w:r>
      <w:r w:rsidR="000218F7">
        <w:t>relating to conflicts of interest, while the remaining three recommendations involved strengthening Cabinet processes to ensure conflicts of interest are managed more effectively</w:t>
      </w:r>
      <w:r w:rsidR="001C2563">
        <w:t xml:space="preserve"> and will be dealt with separately</w:t>
      </w:r>
      <w:r w:rsidR="000218F7">
        <w:t>.</w:t>
      </w:r>
    </w:p>
    <w:p w14:paraId="22318819" w14:textId="4338CFBD" w:rsidR="000218F7" w:rsidRPr="00A709BC" w:rsidRDefault="009E7CEE" w:rsidP="00265C55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 xml:space="preserve">The creation of </w:t>
      </w:r>
      <w:r w:rsidR="00C0172E">
        <w:t xml:space="preserve">new offences in the </w:t>
      </w:r>
      <w:r w:rsidR="00C0172E">
        <w:rPr>
          <w:i/>
        </w:rPr>
        <w:t xml:space="preserve">Integrity Act 2009 </w:t>
      </w:r>
      <w:r w:rsidR="00C0172E">
        <w:t xml:space="preserve">and the </w:t>
      </w:r>
      <w:r w:rsidR="00C0172E">
        <w:rPr>
          <w:i/>
        </w:rPr>
        <w:t>Parliament of Queensland Act 2001</w:t>
      </w:r>
      <w:r w:rsidR="00C0172E">
        <w:t xml:space="preserve"> </w:t>
      </w:r>
      <w:r w:rsidR="005B0DCA">
        <w:t>provides an opportunity to ensure consistency between the obligations on, and offences that apply to, elected officials in state and local governments.</w:t>
      </w:r>
    </w:p>
    <w:p w14:paraId="3CC28C08" w14:textId="0D84687E" w:rsidR="00DC6D81" w:rsidRDefault="006B20E6" w:rsidP="00265C55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A709BC"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creation </w:t>
      </w:r>
      <w:r>
        <w:rPr>
          <w:spacing w:val="-3"/>
        </w:rPr>
        <w:t xml:space="preserve">of </w:t>
      </w:r>
      <w:r>
        <w:t xml:space="preserve">new offences in the </w:t>
      </w:r>
      <w:r>
        <w:rPr>
          <w:i/>
        </w:rPr>
        <w:t xml:space="preserve">Integrity Act 2009 </w:t>
      </w:r>
      <w:r>
        <w:t xml:space="preserve">and the </w:t>
      </w:r>
      <w:r>
        <w:rPr>
          <w:i/>
        </w:rPr>
        <w:t>Parliament of Queensland Act 2001</w:t>
      </w:r>
      <w:r>
        <w:rPr>
          <w:i/>
          <w:spacing w:val="-4"/>
        </w:rPr>
        <w:t xml:space="preserve"> </w:t>
      </w:r>
      <w:r>
        <w:t>to</w:t>
      </w:r>
      <w:r w:rsidR="002836EB">
        <w:t xml:space="preserve"> capture</w:t>
      </w:r>
      <w:r w:rsidR="002836EB">
        <w:rPr>
          <w:spacing w:val="-15"/>
        </w:rPr>
        <w:t xml:space="preserve"> </w:t>
      </w:r>
      <w:r w:rsidR="002836EB">
        <w:t>deliberate</w:t>
      </w:r>
      <w:r w:rsidR="002836EB">
        <w:rPr>
          <w:spacing w:val="-14"/>
        </w:rPr>
        <w:t xml:space="preserve"> </w:t>
      </w:r>
      <w:r w:rsidR="002836EB">
        <w:t>and</w:t>
      </w:r>
      <w:r w:rsidR="002836EB">
        <w:rPr>
          <w:spacing w:val="-16"/>
        </w:rPr>
        <w:t xml:space="preserve"> </w:t>
      </w:r>
      <w:r w:rsidR="002836EB">
        <w:t>intentional</w:t>
      </w:r>
      <w:r w:rsidR="002836EB">
        <w:rPr>
          <w:spacing w:val="-14"/>
        </w:rPr>
        <w:t xml:space="preserve"> </w:t>
      </w:r>
      <w:r w:rsidR="002836EB">
        <w:t>dishonesty</w:t>
      </w:r>
      <w:r w:rsidR="002836EB">
        <w:rPr>
          <w:spacing w:val="-16"/>
        </w:rPr>
        <w:t xml:space="preserve"> </w:t>
      </w:r>
      <w:r w:rsidR="002836EB">
        <w:t>by</w:t>
      </w:r>
      <w:r w:rsidR="002836EB">
        <w:rPr>
          <w:spacing w:val="-15"/>
        </w:rPr>
        <w:t xml:space="preserve"> </w:t>
      </w:r>
      <w:r w:rsidR="002836EB">
        <w:t>Ministers</w:t>
      </w:r>
      <w:r w:rsidR="002836EB">
        <w:rPr>
          <w:spacing w:val="-14"/>
        </w:rPr>
        <w:t xml:space="preserve"> </w:t>
      </w:r>
      <w:r w:rsidR="002836EB">
        <w:t>in</w:t>
      </w:r>
      <w:r w:rsidR="002836EB">
        <w:rPr>
          <w:spacing w:val="-13"/>
        </w:rPr>
        <w:t xml:space="preserve"> </w:t>
      </w:r>
      <w:r w:rsidR="002836EB">
        <w:t>failing</w:t>
      </w:r>
      <w:r w:rsidR="002836EB">
        <w:rPr>
          <w:spacing w:val="-13"/>
        </w:rPr>
        <w:t xml:space="preserve"> </w:t>
      </w:r>
      <w:r w:rsidR="002836EB">
        <w:t>to</w:t>
      </w:r>
      <w:r>
        <w:t>:</w:t>
      </w:r>
    </w:p>
    <w:p w14:paraId="3CC28C0A" w14:textId="274C5E56" w:rsidR="00DC6D81" w:rsidRDefault="006B20E6" w:rsidP="00265C55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6" w:hanging="426"/>
        <w:jc w:val="both"/>
      </w:pPr>
      <w:r>
        <w:t>disclose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conflict to the appropriate body (Cabinet, a Cabinet sub-committee or the Premier)</w:t>
      </w:r>
      <w:r w:rsidR="002836EB">
        <w:t xml:space="preserve"> where they intend to gain a benefit or cause a detriment to another</w:t>
      </w:r>
      <w:r>
        <w:t>;</w:t>
      </w:r>
      <w:r>
        <w:rPr>
          <w:spacing w:val="-12"/>
        </w:rPr>
        <w:t xml:space="preserve"> </w:t>
      </w:r>
      <w:r>
        <w:rPr>
          <w:spacing w:val="-3"/>
        </w:rPr>
        <w:t>or</w:t>
      </w:r>
    </w:p>
    <w:p w14:paraId="3CC28C0C" w14:textId="65238F23" w:rsidR="00DC6D81" w:rsidRDefault="006B20E6" w:rsidP="00265C55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6" w:hanging="426"/>
        <w:jc w:val="both"/>
      </w:pPr>
      <w:r>
        <w:t>register an interest on the Register of Interests where they intend to gain a benefit or cause a detriment to</w:t>
      </w:r>
      <w:r>
        <w:rPr>
          <w:spacing w:val="-1"/>
        </w:rPr>
        <w:t xml:space="preserve"> </w:t>
      </w:r>
      <w:r>
        <w:t>another.</w:t>
      </w:r>
    </w:p>
    <w:p w14:paraId="38D3BF1E" w14:textId="5F9CA08E" w:rsidR="00872406" w:rsidRPr="00DF0560" w:rsidRDefault="006B20E6" w:rsidP="00265C55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inclusion </w:t>
      </w:r>
      <w:r>
        <w:rPr>
          <w:spacing w:val="-3"/>
        </w:rPr>
        <w:t xml:space="preserve">of the </w:t>
      </w:r>
      <w:r>
        <w:rPr>
          <w:spacing w:val="-4"/>
        </w:rPr>
        <w:t>offence</w:t>
      </w:r>
      <w:r w:rsidR="001C0794">
        <w:rPr>
          <w:spacing w:val="-4"/>
        </w:rPr>
        <w:t>s</w:t>
      </w:r>
      <w:r>
        <w:rPr>
          <w:spacing w:val="-4"/>
        </w:rPr>
        <w:t xml:space="preserve"> </w:t>
      </w:r>
      <w:r>
        <w:t xml:space="preserve">in a </w:t>
      </w:r>
      <w:r>
        <w:rPr>
          <w:spacing w:val="-4"/>
        </w:rPr>
        <w:t xml:space="preserve">suitable legislative vehicle </w:t>
      </w:r>
      <w:r>
        <w:rPr>
          <w:spacing w:val="-3"/>
        </w:rPr>
        <w:t xml:space="preserve">for </w:t>
      </w:r>
      <w:r>
        <w:rPr>
          <w:spacing w:val="-4"/>
        </w:rPr>
        <w:t xml:space="preserve">introduction </w:t>
      </w:r>
      <w:r>
        <w:t xml:space="preserve">in </w:t>
      </w:r>
      <w:r w:rsidR="003A4327">
        <w:t>Parliament</w:t>
      </w:r>
      <w:r>
        <w:rPr>
          <w:spacing w:val="-4"/>
        </w:rPr>
        <w:t>.</w:t>
      </w:r>
    </w:p>
    <w:p w14:paraId="3B91D213" w14:textId="715DDADA" w:rsidR="00DF0560" w:rsidRDefault="00DF0560" w:rsidP="00265C55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6" w:hanging="567"/>
        <w:jc w:val="both"/>
      </w:pPr>
      <w:r w:rsidRPr="00DF0560">
        <w:rPr>
          <w:i/>
          <w:u w:val="single"/>
        </w:rPr>
        <w:t>Attachments</w:t>
      </w:r>
    </w:p>
    <w:p w14:paraId="160420B8" w14:textId="75827297" w:rsidR="00DF0560" w:rsidRPr="00DA23D8" w:rsidRDefault="00DF0560" w:rsidP="00265C55">
      <w:pPr>
        <w:pStyle w:val="ListParagraph"/>
        <w:numPr>
          <w:ilvl w:val="1"/>
          <w:numId w:val="1"/>
        </w:numPr>
        <w:tabs>
          <w:tab w:val="left" w:pos="993"/>
        </w:tabs>
        <w:spacing w:before="120"/>
        <w:ind w:left="993" w:right="6" w:hanging="426"/>
        <w:jc w:val="both"/>
      </w:pPr>
      <w:r>
        <w:t>Nil.</w:t>
      </w:r>
    </w:p>
    <w:sectPr w:rsidR="00DF0560" w:rsidRPr="00DA23D8" w:rsidSect="008637AA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75465" w14:textId="77777777" w:rsidR="00175CF9" w:rsidRDefault="00175CF9" w:rsidP="0013169F">
      <w:r>
        <w:separator/>
      </w:r>
    </w:p>
  </w:endnote>
  <w:endnote w:type="continuationSeparator" w:id="0">
    <w:p w14:paraId="2ADD3399" w14:textId="77777777" w:rsidR="00175CF9" w:rsidRDefault="00175CF9" w:rsidP="0013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9172" w14:textId="77777777" w:rsidR="00175CF9" w:rsidRDefault="00175CF9" w:rsidP="0013169F">
      <w:r>
        <w:separator/>
      </w:r>
    </w:p>
  </w:footnote>
  <w:footnote w:type="continuationSeparator" w:id="0">
    <w:p w14:paraId="499C3F50" w14:textId="77777777" w:rsidR="00175CF9" w:rsidRDefault="00175CF9" w:rsidP="0013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D207" w14:textId="77777777" w:rsidR="0013169F" w:rsidRPr="00937A4A" w:rsidRDefault="0013169F" w:rsidP="001316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EB342A9" w14:textId="77777777" w:rsidR="0013169F" w:rsidRPr="00937A4A" w:rsidRDefault="0013169F" w:rsidP="001316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E1151B7" w14:textId="029EAA63" w:rsidR="0013169F" w:rsidRPr="00937A4A" w:rsidRDefault="0013169F" w:rsidP="0013169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October 2019</w:t>
    </w:r>
  </w:p>
  <w:p w14:paraId="2978D14B" w14:textId="21C8BB41" w:rsidR="0013169F" w:rsidRPr="001A2347" w:rsidRDefault="0013169F" w:rsidP="0013169F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Ministerial </w:t>
    </w:r>
    <w:r w:rsidR="001A2347">
      <w:rPr>
        <w:b/>
        <w:u w:val="single"/>
      </w:rPr>
      <w:t xml:space="preserve">Integrity Obligations – new offences in the </w:t>
    </w:r>
    <w:r w:rsidR="001A2347">
      <w:rPr>
        <w:b/>
        <w:i/>
        <w:u w:val="single"/>
      </w:rPr>
      <w:t>Integrity Act 2009</w:t>
    </w:r>
    <w:r w:rsidR="001A2347">
      <w:rPr>
        <w:b/>
        <w:u w:val="single"/>
      </w:rPr>
      <w:t xml:space="preserve"> and the </w:t>
    </w:r>
    <w:r w:rsidR="001A2347">
      <w:rPr>
        <w:b/>
        <w:i/>
        <w:u w:val="single"/>
      </w:rPr>
      <w:t>Parliament of Queensland Act 2001</w:t>
    </w:r>
  </w:p>
  <w:p w14:paraId="1B01EECF" w14:textId="5D8BC66D" w:rsidR="0013169F" w:rsidRDefault="0006426A" w:rsidP="0013169F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Attorney-General and </w:t>
    </w:r>
    <w:r w:rsidR="0013169F">
      <w:rPr>
        <w:b/>
        <w:u w:val="single"/>
      </w:rPr>
      <w:t>Minister</w:t>
    </w:r>
    <w:r>
      <w:rPr>
        <w:b/>
        <w:u w:val="single"/>
      </w:rPr>
      <w:t xml:space="preserve"> for Justice and Leader of the House</w:t>
    </w:r>
  </w:p>
  <w:p w14:paraId="34333665" w14:textId="77777777" w:rsidR="0013169F" w:rsidRDefault="0013169F" w:rsidP="0013169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0603"/>
    <w:multiLevelType w:val="hybridMultilevel"/>
    <w:tmpl w:val="042ECEE0"/>
    <w:lvl w:ilvl="0" w:tplc="F518304E">
      <w:start w:val="1"/>
      <w:numFmt w:val="decimal"/>
      <w:lvlText w:val="%1."/>
      <w:lvlJc w:val="left"/>
      <w:pPr>
        <w:ind w:left="685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C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  <w:w w:val="100"/>
        <w:sz w:val="22"/>
        <w:szCs w:val="22"/>
      </w:rPr>
    </w:lvl>
    <w:lvl w:ilvl="2" w:tplc="D20243BE"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5E4E3324">
      <w:numFmt w:val="bullet"/>
      <w:lvlText w:val="•"/>
      <w:lvlJc w:val="left"/>
      <w:pPr>
        <w:ind w:left="2948" w:hanging="360"/>
      </w:pPr>
      <w:rPr>
        <w:rFonts w:hint="default"/>
      </w:rPr>
    </w:lvl>
    <w:lvl w:ilvl="4" w:tplc="39D03D0C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8A78BFE6">
      <w:numFmt w:val="bullet"/>
      <w:lvlText w:val="•"/>
      <w:lvlJc w:val="left"/>
      <w:pPr>
        <w:ind w:left="4856" w:hanging="360"/>
      </w:pPr>
      <w:rPr>
        <w:rFonts w:hint="default"/>
      </w:rPr>
    </w:lvl>
    <w:lvl w:ilvl="6" w:tplc="94F62BF6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075A55E2">
      <w:numFmt w:val="bullet"/>
      <w:lvlText w:val="•"/>
      <w:lvlJc w:val="left"/>
      <w:pPr>
        <w:ind w:left="6764" w:hanging="360"/>
      </w:pPr>
      <w:rPr>
        <w:rFonts w:hint="default"/>
      </w:rPr>
    </w:lvl>
    <w:lvl w:ilvl="8" w:tplc="427275F8">
      <w:numFmt w:val="bullet"/>
      <w:lvlText w:val="•"/>
      <w:lvlJc w:val="left"/>
      <w:pPr>
        <w:ind w:left="7718" w:hanging="360"/>
      </w:pPr>
      <w:rPr>
        <w:rFonts w:hint="default"/>
      </w:rPr>
    </w:lvl>
  </w:abstractNum>
  <w:abstractNum w:abstractNumId="1" w15:restartNumberingAfterBreak="0">
    <w:nsid w:val="39861356"/>
    <w:multiLevelType w:val="hybridMultilevel"/>
    <w:tmpl w:val="E7D0B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81"/>
    <w:rsid w:val="000218F7"/>
    <w:rsid w:val="00036B26"/>
    <w:rsid w:val="0006426A"/>
    <w:rsid w:val="0013169F"/>
    <w:rsid w:val="0014762B"/>
    <w:rsid w:val="0015127B"/>
    <w:rsid w:val="00175CF9"/>
    <w:rsid w:val="001A2347"/>
    <w:rsid w:val="001C0794"/>
    <w:rsid w:val="001C2563"/>
    <w:rsid w:val="00265C55"/>
    <w:rsid w:val="002718F5"/>
    <w:rsid w:val="002836EB"/>
    <w:rsid w:val="00387886"/>
    <w:rsid w:val="003A4327"/>
    <w:rsid w:val="003B245C"/>
    <w:rsid w:val="003E06F7"/>
    <w:rsid w:val="0040363D"/>
    <w:rsid w:val="004A116E"/>
    <w:rsid w:val="005B0DCA"/>
    <w:rsid w:val="006B20E6"/>
    <w:rsid w:val="006E00B1"/>
    <w:rsid w:val="00702C0D"/>
    <w:rsid w:val="007D346E"/>
    <w:rsid w:val="007F6ACC"/>
    <w:rsid w:val="008637AA"/>
    <w:rsid w:val="00864E8E"/>
    <w:rsid w:val="00872406"/>
    <w:rsid w:val="00914222"/>
    <w:rsid w:val="009E7CEE"/>
    <w:rsid w:val="00A54D41"/>
    <w:rsid w:val="00A709BC"/>
    <w:rsid w:val="00A80731"/>
    <w:rsid w:val="00BD35F5"/>
    <w:rsid w:val="00C0172E"/>
    <w:rsid w:val="00CC1FC6"/>
    <w:rsid w:val="00D067D6"/>
    <w:rsid w:val="00D26F16"/>
    <w:rsid w:val="00D441C2"/>
    <w:rsid w:val="00DA23D8"/>
    <w:rsid w:val="00DC6D81"/>
    <w:rsid w:val="00D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28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2" w:right="46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5" w:right="22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69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C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C553C-5CBD-4094-8000-C7F276C2229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B68374-3DDD-4384-8043-9C754AECD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E58B3-8B47-40E0-8D51-93CD23698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1228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Base>https://www.cabinet.qld.gov.au/documents/2019/Oct/MinIntOb/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cp:lastPrinted>2020-01-07T01:56:00Z</cp:lastPrinted>
  <dcterms:created xsi:type="dcterms:W3CDTF">2019-12-24T02:06:00Z</dcterms:created>
  <dcterms:modified xsi:type="dcterms:W3CDTF">2020-07-27T00:46:00Z</dcterms:modified>
  <cp:category>Integrity,Legislation,Crime_and_Corruption_Commission,Parliament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2013 </vt:lpwstr>
  </property>
  <property fmtid="{D5CDD505-2E9C-101B-9397-08002B2CF9AE}" pid="4" name="LastSaved">
    <vt:filetime>2019-12-19T00:00:00Z</vt:filetime>
  </property>
  <property fmtid="{D5CDD505-2E9C-101B-9397-08002B2CF9AE}" pid="5" name="ContentTypeId">
    <vt:lpwstr>0x010100DDE14CFDD070B24F85F5DE43654FF01E</vt:lpwstr>
  </property>
</Properties>
</file>